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379B6A" w14:textId="77777777" w:rsidR="00774304" w:rsidRDefault="00774304" w:rsidP="004279CF">
      <w:pPr>
        <w:spacing w:after="0" w:line="240" w:lineRule="auto"/>
        <w:jc w:val="center"/>
        <w:rPr>
          <w:rFonts w:ascii="Calibri" w:eastAsia="Calibri" w:hAnsi="Calibri" w:cs="Times New Roman"/>
          <w:sz w:val="72"/>
          <w:szCs w:val="72"/>
        </w:rPr>
      </w:pPr>
    </w:p>
    <w:p w14:paraId="67DFE098" w14:textId="77777777" w:rsidR="00774304" w:rsidRDefault="00774304" w:rsidP="004279CF">
      <w:pPr>
        <w:spacing w:after="0" w:line="240" w:lineRule="auto"/>
        <w:jc w:val="center"/>
        <w:rPr>
          <w:rFonts w:ascii="Calibri" w:eastAsia="Calibri" w:hAnsi="Calibri" w:cs="Times New Roman"/>
          <w:sz w:val="72"/>
          <w:szCs w:val="72"/>
        </w:rPr>
      </w:pPr>
    </w:p>
    <w:p w14:paraId="38890890" w14:textId="77777777" w:rsidR="00774304" w:rsidRDefault="00774304" w:rsidP="004279CF">
      <w:pPr>
        <w:spacing w:after="0" w:line="240" w:lineRule="auto"/>
        <w:jc w:val="center"/>
        <w:rPr>
          <w:rFonts w:ascii="Calibri" w:eastAsia="Calibri" w:hAnsi="Calibri" w:cs="Times New Roman"/>
          <w:sz w:val="72"/>
          <w:szCs w:val="72"/>
        </w:rPr>
      </w:pPr>
    </w:p>
    <w:p w14:paraId="4B5792E6" w14:textId="7C1A3DF2" w:rsidR="004279CF" w:rsidRPr="004279CF" w:rsidRDefault="004279CF" w:rsidP="004279CF">
      <w:pPr>
        <w:spacing w:after="0" w:line="240" w:lineRule="auto"/>
        <w:jc w:val="center"/>
        <w:rPr>
          <w:rFonts w:ascii="Calibri" w:eastAsia="Calibri" w:hAnsi="Calibri" w:cs="Times New Roman"/>
          <w:sz w:val="72"/>
          <w:szCs w:val="72"/>
        </w:rPr>
      </w:pPr>
      <w:r w:rsidRPr="004279CF">
        <w:rPr>
          <w:rFonts w:ascii="Calibri" w:eastAsia="Calibri" w:hAnsi="Calibri" w:cs="Times New Roman"/>
          <w:sz w:val="72"/>
          <w:szCs w:val="72"/>
        </w:rPr>
        <w:t>South West Construction Academy</w:t>
      </w:r>
    </w:p>
    <w:p w14:paraId="4CB33642" w14:textId="77777777" w:rsidR="00774304" w:rsidRDefault="00774304" w:rsidP="00774304">
      <w:pPr>
        <w:spacing w:after="0" w:line="259" w:lineRule="auto"/>
        <w:jc w:val="center"/>
        <w:rPr>
          <w:b/>
          <w:sz w:val="32"/>
          <w:szCs w:val="32"/>
        </w:rPr>
      </w:pPr>
    </w:p>
    <w:p w14:paraId="23C855D5" w14:textId="77777777" w:rsidR="00774304" w:rsidRDefault="00774304" w:rsidP="00774304">
      <w:pPr>
        <w:spacing w:after="0" w:line="259" w:lineRule="auto"/>
        <w:jc w:val="center"/>
        <w:rPr>
          <w:b/>
          <w:sz w:val="32"/>
          <w:szCs w:val="32"/>
        </w:rPr>
      </w:pPr>
    </w:p>
    <w:p w14:paraId="07C2799E" w14:textId="77777777" w:rsidR="00774304" w:rsidRDefault="00774304" w:rsidP="00774304">
      <w:pPr>
        <w:spacing w:after="0" w:line="259" w:lineRule="auto"/>
        <w:jc w:val="center"/>
        <w:rPr>
          <w:b/>
          <w:sz w:val="32"/>
          <w:szCs w:val="32"/>
        </w:rPr>
      </w:pPr>
    </w:p>
    <w:p w14:paraId="09B91B49" w14:textId="77777777" w:rsidR="005F4114" w:rsidRDefault="000D6217" w:rsidP="00774304">
      <w:pPr>
        <w:spacing w:after="0" w:line="259" w:lineRule="auto"/>
        <w:jc w:val="center"/>
        <w:rPr>
          <w:rFonts w:eastAsia="Calibri" w:cstheme="minorHAnsi"/>
          <w:bCs/>
          <w:color w:val="000000"/>
          <w:sz w:val="52"/>
          <w:lang w:eastAsia="en-GB"/>
        </w:rPr>
      </w:pPr>
      <w:r>
        <w:rPr>
          <w:b/>
          <w:sz w:val="32"/>
          <w:szCs w:val="32"/>
        </w:rPr>
        <w:t xml:space="preserve"> </w:t>
      </w:r>
      <w:r w:rsidR="0030106F" w:rsidRPr="00774304">
        <w:rPr>
          <w:rFonts w:eastAsia="Calibri" w:cstheme="minorHAnsi"/>
          <w:bCs/>
          <w:color w:val="000000"/>
          <w:sz w:val="52"/>
          <w:lang w:eastAsia="en-GB"/>
        </w:rPr>
        <w:t xml:space="preserve">Appeals </w:t>
      </w:r>
      <w:r w:rsidR="00774304">
        <w:rPr>
          <w:rFonts w:eastAsia="Calibri" w:cstheme="minorHAnsi"/>
          <w:bCs/>
          <w:color w:val="000000"/>
          <w:sz w:val="52"/>
          <w:lang w:eastAsia="en-GB"/>
        </w:rPr>
        <w:t xml:space="preserve">Policy &amp; </w:t>
      </w:r>
      <w:r w:rsidR="0030106F" w:rsidRPr="00774304">
        <w:rPr>
          <w:rFonts w:eastAsia="Calibri" w:cstheme="minorHAnsi"/>
          <w:bCs/>
          <w:color w:val="000000"/>
          <w:sz w:val="52"/>
          <w:lang w:eastAsia="en-GB"/>
        </w:rPr>
        <w:t>Process</w:t>
      </w:r>
      <w:r w:rsidR="005F4114" w:rsidRPr="005F4114">
        <w:rPr>
          <w:rFonts w:eastAsia="Calibri" w:cstheme="minorHAnsi"/>
          <w:bCs/>
          <w:color w:val="000000"/>
          <w:sz w:val="52"/>
          <w:lang w:eastAsia="en-GB"/>
        </w:rPr>
        <w:t xml:space="preserve"> </w:t>
      </w:r>
    </w:p>
    <w:p w14:paraId="5BE295C1" w14:textId="766487C2" w:rsidR="007A3D80" w:rsidRPr="0030106F" w:rsidRDefault="005F4114" w:rsidP="00774304">
      <w:pPr>
        <w:spacing w:after="0" w:line="259" w:lineRule="auto"/>
        <w:jc w:val="center"/>
        <w:rPr>
          <w:b/>
          <w:sz w:val="32"/>
          <w:szCs w:val="32"/>
        </w:rPr>
      </w:pPr>
      <w:r>
        <w:rPr>
          <w:rFonts w:eastAsia="Calibri" w:cstheme="minorHAnsi"/>
          <w:bCs/>
          <w:color w:val="000000"/>
          <w:sz w:val="52"/>
          <w:lang w:eastAsia="en-GB"/>
        </w:rPr>
        <w:t xml:space="preserve">for </w:t>
      </w:r>
      <w:r w:rsidRPr="00774304">
        <w:rPr>
          <w:rFonts w:eastAsia="Calibri" w:cstheme="minorHAnsi"/>
          <w:bCs/>
          <w:color w:val="000000"/>
          <w:sz w:val="52"/>
          <w:lang w:eastAsia="en-GB"/>
        </w:rPr>
        <w:t>Learner</w:t>
      </w:r>
      <w:r>
        <w:rPr>
          <w:rFonts w:eastAsia="Calibri" w:cstheme="minorHAnsi"/>
          <w:bCs/>
          <w:color w:val="000000"/>
          <w:sz w:val="52"/>
          <w:lang w:eastAsia="en-GB"/>
        </w:rPr>
        <w:t>s</w:t>
      </w:r>
    </w:p>
    <w:p w14:paraId="4F40E8D5" w14:textId="77777777" w:rsidR="00774304" w:rsidRPr="009F1D2A" w:rsidRDefault="00774304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5C9E5179" w14:textId="77777777" w:rsidR="00774304" w:rsidRDefault="00774304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17F449D8" w14:textId="77777777" w:rsidR="00774304" w:rsidRPr="009F1D2A" w:rsidRDefault="00774304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4CF35AA0" w14:textId="77777777" w:rsidR="00774304" w:rsidRPr="009F1D2A" w:rsidRDefault="00774304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7586C55B" w14:textId="77777777" w:rsidR="009F1D2A" w:rsidRP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2574CB56" w14:textId="77777777" w:rsidR="009F1D2A" w:rsidRP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5CE4A4FB" w14:textId="77777777" w:rsidR="009F1D2A" w:rsidRP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6A7A2123" w14:textId="77777777" w:rsidR="009F1D2A" w:rsidRP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tbl>
      <w:tblPr>
        <w:tblStyle w:val="TableGrid1"/>
        <w:tblpPr w:leftFromText="180" w:rightFromText="180" w:vertAnchor="text" w:horzAnchor="margin" w:tblpY="22"/>
        <w:tblW w:w="0" w:type="auto"/>
        <w:tblLook w:val="04A0" w:firstRow="1" w:lastRow="0" w:firstColumn="1" w:lastColumn="0" w:noHBand="0" w:noVBand="1"/>
      </w:tblPr>
      <w:tblGrid>
        <w:gridCol w:w="1980"/>
        <w:gridCol w:w="2551"/>
      </w:tblGrid>
      <w:tr w:rsidR="005F4114" w:rsidRPr="009F1D2A" w14:paraId="04831E7C" w14:textId="77777777" w:rsidTr="005F4114">
        <w:trPr>
          <w:trHeight w:val="209"/>
        </w:trPr>
        <w:tc>
          <w:tcPr>
            <w:tcW w:w="1980" w:type="dxa"/>
          </w:tcPr>
          <w:p w14:paraId="5A257CD1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>Date of Issue</w:t>
            </w:r>
          </w:p>
        </w:tc>
        <w:tc>
          <w:tcPr>
            <w:tcW w:w="2551" w:type="dxa"/>
          </w:tcPr>
          <w:p w14:paraId="6B325210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>01/09/2015</w:t>
            </w:r>
          </w:p>
        </w:tc>
      </w:tr>
      <w:tr w:rsidR="005F4114" w:rsidRPr="009F1D2A" w14:paraId="18116620" w14:textId="77777777" w:rsidTr="005F4114">
        <w:trPr>
          <w:trHeight w:val="170"/>
        </w:trPr>
        <w:tc>
          <w:tcPr>
            <w:tcW w:w="1980" w:type="dxa"/>
          </w:tcPr>
          <w:p w14:paraId="35353977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>Date of Review</w:t>
            </w:r>
          </w:p>
        </w:tc>
        <w:tc>
          <w:tcPr>
            <w:tcW w:w="2551" w:type="dxa"/>
          </w:tcPr>
          <w:p w14:paraId="55EA4978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>01/09/2018</w:t>
            </w:r>
          </w:p>
        </w:tc>
      </w:tr>
      <w:tr w:rsidR="005F4114" w:rsidRPr="009F1D2A" w14:paraId="1D28977A" w14:textId="77777777" w:rsidTr="005F4114">
        <w:trPr>
          <w:trHeight w:val="170"/>
        </w:trPr>
        <w:tc>
          <w:tcPr>
            <w:tcW w:w="1980" w:type="dxa"/>
          </w:tcPr>
          <w:p w14:paraId="6E8791D2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>Date of Review</w:t>
            </w:r>
          </w:p>
        </w:tc>
        <w:tc>
          <w:tcPr>
            <w:tcW w:w="2551" w:type="dxa"/>
          </w:tcPr>
          <w:p w14:paraId="61F207F8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>01/09/2021</w:t>
            </w:r>
          </w:p>
        </w:tc>
      </w:tr>
      <w:tr w:rsidR="005F4114" w:rsidRPr="009F1D2A" w14:paraId="129B7563" w14:textId="77777777" w:rsidTr="005F4114">
        <w:trPr>
          <w:trHeight w:val="170"/>
        </w:trPr>
        <w:tc>
          <w:tcPr>
            <w:tcW w:w="1980" w:type="dxa"/>
          </w:tcPr>
          <w:p w14:paraId="3947E9C1" w14:textId="777777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 xml:space="preserve">Date of Review </w:t>
            </w:r>
          </w:p>
        </w:tc>
        <w:tc>
          <w:tcPr>
            <w:tcW w:w="2551" w:type="dxa"/>
          </w:tcPr>
          <w:p w14:paraId="16DF6111" w14:textId="2B0EB677" w:rsidR="005F4114" w:rsidRPr="009F1D2A" w:rsidRDefault="005F4114" w:rsidP="005F4114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01/09/2022</w:t>
            </w:r>
          </w:p>
        </w:tc>
      </w:tr>
      <w:tr w:rsidR="00B67523" w:rsidRPr="009F1D2A" w14:paraId="2A8DC366" w14:textId="77777777" w:rsidTr="005F4114">
        <w:trPr>
          <w:trHeight w:val="170"/>
        </w:trPr>
        <w:tc>
          <w:tcPr>
            <w:tcW w:w="1980" w:type="dxa"/>
          </w:tcPr>
          <w:p w14:paraId="111473B4" w14:textId="36C781BB" w:rsidR="00B67523" w:rsidRPr="009F1D2A" w:rsidRDefault="00B67523" w:rsidP="00B67523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 xml:space="preserve">Date of Review </w:t>
            </w:r>
          </w:p>
        </w:tc>
        <w:tc>
          <w:tcPr>
            <w:tcW w:w="2551" w:type="dxa"/>
          </w:tcPr>
          <w:p w14:paraId="58A77058" w14:textId="781A7F35" w:rsidR="00B67523" w:rsidRDefault="00B67523" w:rsidP="00B6752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01/09/202</w:t>
            </w: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B67523" w:rsidRPr="009F1D2A" w14:paraId="63D871AA" w14:textId="77777777" w:rsidTr="005F4114">
        <w:trPr>
          <w:trHeight w:val="170"/>
        </w:trPr>
        <w:tc>
          <w:tcPr>
            <w:tcW w:w="1980" w:type="dxa"/>
          </w:tcPr>
          <w:p w14:paraId="63E0AE98" w14:textId="0558808B" w:rsidR="00B67523" w:rsidRPr="009F1D2A" w:rsidRDefault="00B67523" w:rsidP="00B67523">
            <w:pPr>
              <w:rPr>
                <w:rFonts w:ascii="Calibri" w:eastAsia="Calibri" w:hAnsi="Calibri" w:cs="Times New Roman"/>
              </w:rPr>
            </w:pPr>
            <w:r w:rsidRPr="009F1D2A">
              <w:rPr>
                <w:rFonts w:ascii="Calibri" w:eastAsia="Calibri" w:hAnsi="Calibri" w:cs="Times New Roman"/>
              </w:rPr>
              <w:t xml:space="preserve">Date of Review </w:t>
            </w:r>
          </w:p>
        </w:tc>
        <w:tc>
          <w:tcPr>
            <w:tcW w:w="2551" w:type="dxa"/>
          </w:tcPr>
          <w:p w14:paraId="3D96F8ED" w14:textId="2A52E6CA" w:rsidR="00B67523" w:rsidRDefault="00B67523" w:rsidP="00B6752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01/09/202</w:t>
            </w:r>
            <w:r>
              <w:rPr>
                <w:rFonts w:ascii="Calibri" w:eastAsia="Calibri" w:hAnsi="Calibri" w:cs="Times New Roman"/>
              </w:rPr>
              <w:t>4</w:t>
            </w:r>
          </w:p>
        </w:tc>
      </w:tr>
      <w:tr w:rsidR="00B67523" w:rsidRPr="009F1D2A" w14:paraId="3F71BAAD" w14:textId="77777777" w:rsidTr="005F4114">
        <w:trPr>
          <w:trHeight w:val="170"/>
        </w:trPr>
        <w:tc>
          <w:tcPr>
            <w:tcW w:w="1980" w:type="dxa"/>
          </w:tcPr>
          <w:p w14:paraId="1E5D2DBC" w14:textId="77777777" w:rsidR="00B67523" w:rsidRPr="009F1D2A" w:rsidRDefault="00B67523" w:rsidP="00B6752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551" w:type="dxa"/>
          </w:tcPr>
          <w:p w14:paraId="77B03F1A" w14:textId="77777777" w:rsidR="00B67523" w:rsidRDefault="00B67523" w:rsidP="00B67523">
            <w:pPr>
              <w:rPr>
                <w:rFonts w:ascii="Calibri" w:eastAsia="Calibri" w:hAnsi="Calibri" w:cs="Times New Roman"/>
              </w:rPr>
            </w:pPr>
          </w:p>
        </w:tc>
      </w:tr>
    </w:tbl>
    <w:p w14:paraId="04C4CBE8" w14:textId="77777777" w:rsidR="009F1D2A" w:rsidRP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3883D442" w14:textId="77777777" w:rsidR="009F1D2A" w:rsidRPr="009F1D2A" w:rsidRDefault="009F1D2A" w:rsidP="009F1D2A">
      <w:pPr>
        <w:spacing w:after="0" w:line="259" w:lineRule="auto"/>
        <w:ind w:left="10" w:right="7" w:hanging="10"/>
        <w:jc w:val="center"/>
        <w:rPr>
          <w:rFonts w:ascii="Calibri" w:eastAsia="Calibri" w:hAnsi="Calibri" w:cs="Calibri"/>
          <w:b/>
          <w:color w:val="000000"/>
          <w:sz w:val="52"/>
          <w:lang w:eastAsia="en-GB"/>
        </w:rPr>
      </w:pPr>
    </w:p>
    <w:p w14:paraId="1C7129BF" w14:textId="77777777" w:rsidR="009F1D2A" w:rsidRPr="009F1D2A" w:rsidRDefault="009F1D2A" w:rsidP="009F1D2A">
      <w:pPr>
        <w:spacing w:after="0" w:line="259" w:lineRule="auto"/>
        <w:ind w:left="10" w:right="7" w:hanging="10"/>
        <w:jc w:val="center"/>
        <w:rPr>
          <w:rFonts w:ascii="Calibri" w:eastAsia="Calibri" w:hAnsi="Calibri" w:cs="Calibri"/>
          <w:b/>
          <w:color w:val="000000"/>
          <w:sz w:val="52"/>
          <w:lang w:eastAsia="en-GB"/>
        </w:rPr>
      </w:pPr>
    </w:p>
    <w:p w14:paraId="3C5B3491" w14:textId="77777777" w:rsidR="009F1D2A" w:rsidRPr="009F1D2A" w:rsidRDefault="009F1D2A" w:rsidP="009F1D2A">
      <w:pPr>
        <w:spacing w:after="0" w:line="259" w:lineRule="auto"/>
        <w:ind w:left="10" w:right="7" w:hanging="10"/>
        <w:jc w:val="center"/>
        <w:rPr>
          <w:rFonts w:ascii="Calibri" w:eastAsia="Calibri" w:hAnsi="Calibri" w:cs="Calibri"/>
          <w:b/>
          <w:color w:val="000000"/>
          <w:sz w:val="52"/>
          <w:lang w:eastAsia="en-GB"/>
        </w:rPr>
      </w:pPr>
    </w:p>
    <w:p w14:paraId="11FC70A7" w14:textId="77777777" w:rsidR="009F1D2A" w:rsidRPr="009F1D2A" w:rsidRDefault="009F1D2A" w:rsidP="009F1D2A">
      <w:pPr>
        <w:spacing w:after="0" w:line="240" w:lineRule="auto"/>
        <w:rPr>
          <w:rFonts w:ascii="Calibri" w:eastAsia="Calibri" w:hAnsi="Calibri" w:cs="Times New Roman"/>
          <w:lang w:eastAsia="en-GB"/>
        </w:rPr>
      </w:pPr>
    </w:p>
    <w:p w14:paraId="1C7A5F35" w14:textId="77777777" w:rsidR="009F1D2A" w:rsidRPr="009F1D2A" w:rsidRDefault="009F1D2A" w:rsidP="009F1D2A">
      <w:pPr>
        <w:spacing w:after="0" w:line="240" w:lineRule="auto"/>
        <w:rPr>
          <w:rFonts w:ascii="Calibri" w:eastAsia="Calibri" w:hAnsi="Calibri" w:cs="Times New Roman"/>
          <w:lang w:eastAsia="en-GB"/>
        </w:rPr>
      </w:pPr>
      <w:r w:rsidRPr="009F1D2A">
        <w:rPr>
          <w:rFonts w:ascii="Calibri" w:eastAsia="Calibri" w:hAnsi="Calibri" w:cs="Times New Roman"/>
        </w:rPr>
        <w:t>Issued by: Shane McCallum</w:t>
      </w:r>
    </w:p>
    <w:p w14:paraId="1DA331FF" w14:textId="77777777" w:rsidR="009F1D2A" w:rsidRPr="009F1D2A" w:rsidRDefault="009F1D2A" w:rsidP="009F1D2A">
      <w:pPr>
        <w:spacing w:after="0" w:line="240" w:lineRule="auto"/>
        <w:rPr>
          <w:rFonts w:ascii="Calibri" w:eastAsia="Calibri" w:hAnsi="Calibri" w:cs="Times New Roman"/>
          <w:lang w:eastAsia="en-GB"/>
        </w:rPr>
      </w:pPr>
      <w:r w:rsidRPr="009F1D2A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285F0609" wp14:editId="60773CEB">
            <wp:simplePos x="0" y="0"/>
            <wp:positionH relativeFrom="column">
              <wp:posOffset>525780</wp:posOffset>
            </wp:positionH>
            <wp:positionV relativeFrom="paragraph">
              <wp:posOffset>113665</wp:posOffset>
            </wp:positionV>
            <wp:extent cx="1619250" cy="4572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C1D0E4" w14:textId="77777777" w:rsidR="009F1D2A" w:rsidRPr="009F1D2A" w:rsidRDefault="009F1D2A" w:rsidP="009F1D2A">
      <w:pPr>
        <w:spacing w:after="0" w:line="240" w:lineRule="auto"/>
        <w:rPr>
          <w:rFonts w:ascii="Calibri" w:eastAsia="Calibri" w:hAnsi="Calibri" w:cs="Times New Roman"/>
          <w:lang w:eastAsia="en-GB"/>
        </w:rPr>
      </w:pPr>
    </w:p>
    <w:p w14:paraId="5E7778B8" w14:textId="77777777" w:rsidR="009F1D2A" w:rsidRPr="009F1D2A" w:rsidRDefault="009F1D2A" w:rsidP="009F1D2A">
      <w:pPr>
        <w:spacing w:after="0" w:line="240" w:lineRule="auto"/>
        <w:rPr>
          <w:rFonts w:ascii="Calibri" w:eastAsia="Calibri" w:hAnsi="Calibri" w:cs="Times New Roman"/>
        </w:rPr>
      </w:pPr>
      <w:r w:rsidRPr="009F1D2A">
        <w:rPr>
          <w:rFonts w:ascii="Calibri" w:eastAsia="Calibri" w:hAnsi="Calibri" w:cs="Times New Roman"/>
        </w:rPr>
        <w:t xml:space="preserve">Signed: </w:t>
      </w:r>
    </w:p>
    <w:p w14:paraId="04D35DE2" w14:textId="77777777" w:rsid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1802DBFD" w14:textId="77777777" w:rsidR="00774304" w:rsidRDefault="00774304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39E68355" w14:textId="77777777" w:rsid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21C7B961" w14:textId="77777777" w:rsid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14DBFD61" w14:textId="77777777" w:rsid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0B77DAAA" w14:textId="77777777" w:rsid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3E0A00C0" w14:textId="77777777" w:rsidR="009F1D2A" w:rsidRDefault="009F1D2A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1E97F50B" w14:textId="061F86D9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  <w:r>
        <w:rPr>
          <w:rFonts w:ascii="Calibri" w:hAnsi="Calibri" w:cs="Calibri"/>
          <w:b/>
          <w:bCs/>
          <w:i/>
          <w:iCs/>
          <w:color w:val="000000"/>
        </w:rPr>
        <w:t>Grounds for appeal</w:t>
      </w:r>
    </w:p>
    <w:p w14:paraId="46A05800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105CC9E6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 Learner may appeal against an assessment decision if they believe that the decision is unfair </w:t>
      </w:r>
      <w:r w:rsidR="0030106F">
        <w:rPr>
          <w:rFonts w:ascii="Calibri" w:hAnsi="Calibri" w:cs="Calibri"/>
          <w:color w:val="000000"/>
        </w:rPr>
        <w:t>or unreasonable</w:t>
      </w:r>
      <w:r>
        <w:rPr>
          <w:rFonts w:ascii="Calibri" w:hAnsi="Calibri" w:cs="Calibri"/>
          <w:color w:val="000000"/>
        </w:rPr>
        <w:t>. Awareness of the Appeals Process All Learners must be informed of the centre’s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appeals process on commencement of their qualification.</w:t>
      </w:r>
    </w:p>
    <w:p w14:paraId="52BA447C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4EE23146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  <w:r>
        <w:rPr>
          <w:rFonts w:ascii="Calibri" w:hAnsi="Calibri" w:cs="Calibri"/>
          <w:b/>
          <w:bCs/>
          <w:i/>
          <w:iCs/>
          <w:color w:val="000000"/>
        </w:rPr>
        <w:t>Before the appeal</w:t>
      </w:r>
    </w:p>
    <w:p w14:paraId="5689174E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644FF31C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Where practical the Learner should discuss their objection to the assessment decision with the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Assessor prior to making a formal appeal. The Assessor should be open-minded to the points raised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by the Learner, discuss the matter with the Quality Assuror and try to find a solution which makes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an appeal unnecessary. If this cannot be achieved the Learner must be advised of their right to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appeal and how to go about it.</w:t>
      </w:r>
    </w:p>
    <w:p w14:paraId="6A2E68F6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</w:p>
    <w:p w14:paraId="117DA5DF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  <w:r>
        <w:rPr>
          <w:rFonts w:ascii="Calibri" w:hAnsi="Calibri" w:cs="Calibri"/>
          <w:b/>
          <w:bCs/>
          <w:i/>
          <w:iCs/>
          <w:color w:val="000000"/>
        </w:rPr>
        <w:t>The Appeals Process</w:t>
      </w:r>
    </w:p>
    <w:p w14:paraId="1C512332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color w:val="000000"/>
        </w:rPr>
        <w:t xml:space="preserve"> </w:t>
      </w:r>
    </w:p>
    <w:p w14:paraId="6FBFFE11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Appeals must be made in writing by the Learner to the Centre Coordinator within 14 days of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the Learner being notified of the assessment decision against which the appeal is being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made </w:t>
      </w:r>
    </w:p>
    <w:p w14:paraId="3382C844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The written appeal must be copied by the Centre Coordinator to the Assessor who made the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decision and to the Quality Assuror responsible for the Assessor </w:t>
      </w:r>
    </w:p>
    <w:p w14:paraId="3B49965F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The Centre Coordinator must identify someone else, normally from the centre, to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objectively evaluate the evidence and give a judgement (the Appeals adjudicator) </w:t>
      </w:r>
    </w:p>
    <w:p w14:paraId="111A80CC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This adjudicator must hold an assessment qualification, be technically competent in the skill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area being assessed and be knowledgeable of EAL systems and procedures </w:t>
      </w:r>
    </w:p>
    <w:p w14:paraId="40CBD41F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If an Appeals adjudicator cannot be identified from within the centre, The Centre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coordinator must look externally for an appropriate person </w:t>
      </w:r>
    </w:p>
    <w:p w14:paraId="66958413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The Appeals adjudicator will report back to the Centre Coordinator who will make the final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judgement on the appeal </w:t>
      </w:r>
    </w:p>
    <w:p w14:paraId="10F8AC70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/>
        </w:rPr>
      </w:pPr>
    </w:p>
    <w:p w14:paraId="2EFC0EDE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/>
        </w:rPr>
      </w:pPr>
      <w:r>
        <w:rPr>
          <w:rFonts w:ascii="Calibri" w:hAnsi="Calibri" w:cs="Calibri"/>
          <w:b/>
          <w:bCs/>
          <w:i/>
          <w:iCs/>
          <w:color w:val="000000"/>
        </w:rPr>
        <w:t>After the appeal</w:t>
      </w:r>
    </w:p>
    <w:p w14:paraId="16D32DBF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color w:val="000000"/>
        </w:rPr>
        <w:t xml:space="preserve"> </w:t>
      </w:r>
    </w:p>
    <w:p w14:paraId="3E8EBCB9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The adjudicator’s judgement must be communicated to the Learner by the Centre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Coordinator in writing within 21 days of the written appeal being received </w:t>
      </w:r>
    </w:p>
    <w:p w14:paraId="04EAD1DD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This communication must be copied to the Assessor against whom the appeal was raised,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his/her IV and the Appeals adjudicator </w:t>
      </w:r>
    </w:p>
    <w:p w14:paraId="3F81B7CB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The Centre Co-ordinator must retain full details of the appeal within the Centre file for a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period not less than 5 years </w:t>
      </w:r>
    </w:p>
    <w:p w14:paraId="6E74BC89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If the appeal is successful the Centre Coordinator must identify the specific failure in the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centre’s assessment regime and implement corrective actions </w:t>
      </w:r>
    </w:p>
    <w:p w14:paraId="0F71D327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In all circumstances the External Verifier must be informed of the details of the appeal (e.g.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those involved and whether the appeal is resolved or still in dispute)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and the associated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records </w:t>
      </w:r>
    </w:p>
    <w:p w14:paraId="1CBE2A8E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46734395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i/>
          <w:iCs/>
          <w:color w:val="000000"/>
        </w:rPr>
        <w:t>Note</w:t>
      </w:r>
      <w:r>
        <w:rPr>
          <w:rFonts w:ascii="Calibri" w:hAnsi="Calibri" w:cs="Calibri"/>
          <w:color w:val="000000"/>
        </w:rPr>
        <w:t xml:space="preserve"> - The Centre Coordinator is at liberty to seek guidance from the External Verifier on any aspect</w:t>
      </w:r>
    </w:p>
    <w:p w14:paraId="4EF4753B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of the appeal process.</w:t>
      </w:r>
    </w:p>
    <w:p w14:paraId="13424AED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71412E8D" w14:textId="77777777" w:rsidR="0030106F" w:rsidRDefault="0030106F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</w:t>
      </w:r>
      <w:r w:rsidR="000618AC">
        <w:rPr>
          <w:rFonts w:ascii="Calibri" w:hAnsi="Calibri" w:cs="Calibri"/>
          <w:color w:val="000000"/>
        </w:rPr>
        <w:t xml:space="preserve"> successful appeal is not a reversal of the original assessment outcome but is to: </w:t>
      </w:r>
    </w:p>
    <w:p w14:paraId="6CA3C9DC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color w:val="000000"/>
        </w:rPr>
        <w:t xml:space="preserve"> </w:t>
      </w:r>
    </w:p>
    <w:p w14:paraId="6283F9D3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Establish if the Learner may need to be reassessed the timescales quoted (in the EAL</w:t>
      </w:r>
      <w:r w:rsidR="0030106F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procedures are normal maximums)</w:t>
      </w:r>
    </w:p>
    <w:p w14:paraId="7C140C0F" w14:textId="77777777" w:rsidR="000618AC" w:rsidRDefault="000618AC" w:rsidP="0030106F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Calibri" w:hAnsi="Calibri" w:cs="Calibri"/>
          <w:color w:val="000000"/>
        </w:rPr>
        <w:t>In extreme cases the timescales may need to be longer in which case the reasons for the longer timescales are to be documented</w:t>
      </w:r>
    </w:p>
    <w:sectPr w:rsidR="000618AC" w:rsidSect="004C7A7C">
      <w:headerReference w:type="default" r:id="rId7"/>
      <w:pgSz w:w="11906" w:h="16838"/>
      <w:pgMar w:top="1843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76ACE4" w14:textId="77777777" w:rsidR="00402C86" w:rsidRDefault="00402C86" w:rsidP="000D6217">
      <w:pPr>
        <w:spacing w:after="0" w:line="240" w:lineRule="auto"/>
      </w:pPr>
      <w:r>
        <w:separator/>
      </w:r>
    </w:p>
  </w:endnote>
  <w:endnote w:type="continuationSeparator" w:id="0">
    <w:p w14:paraId="01BD62AF" w14:textId="77777777" w:rsidR="00402C86" w:rsidRDefault="00402C86" w:rsidP="000D6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2C846" w14:textId="77777777" w:rsidR="00402C86" w:rsidRDefault="00402C86" w:rsidP="000D6217">
      <w:pPr>
        <w:spacing w:after="0" w:line="240" w:lineRule="auto"/>
      </w:pPr>
      <w:r>
        <w:separator/>
      </w:r>
    </w:p>
  </w:footnote>
  <w:footnote w:type="continuationSeparator" w:id="0">
    <w:p w14:paraId="5BD497E5" w14:textId="77777777" w:rsidR="00402C86" w:rsidRDefault="00402C86" w:rsidP="000D6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106F32" w14:textId="7807FACC" w:rsidR="000D6217" w:rsidRDefault="000D621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2629A5" wp14:editId="652D52A0">
          <wp:simplePos x="0" y="0"/>
          <wp:positionH relativeFrom="column">
            <wp:posOffset>3810000</wp:posOffset>
          </wp:positionH>
          <wp:positionV relativeFrom="paragraph">
            <wp:posOffset>-116205</wp:posOffset>
          </wp:positionV>
          <wp:extent cx="1917700" cy="533400"/>
          <wp:effectExtent l="0" t="0" r="6350" b="0"/>
          <wp:wrapNone/>
          <wp:docPr id="11" name="Picture 1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7700" cy="53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18AC"/>
    <w:rsid w:val="000618AC"/>
    <w:rsid w:val="000D6217"/>
    <w:rsid w:val="000D6F90"/>
    <w:rsid w:val="0030106F"/>
    <w:rsid w:val="00402C86"/>
    <w:rsid w:val="004279CF"/>
    <w:rsid w:val="004C7A7C"/>
    <w:rsid w:val="005446AB"/>
    <w:rsid w:val="005F4114"/>
    <w:rsid w:val="00774304"/>
    <w:rsid w:val="007A3D80"/>
    <w:rsid w:val="009F1D2A"/>
    <w:rsid w:val="00B67523"/>
    <w:rsid w:val="00B80787"/>
    <w:rsid w:val="00D9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AF6E6"/>
  <w15:docId w15:val="{DDD05D2B-5B7C-490F-8EDA-BC37BE293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0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06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2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217"/>
  </w:style>
  <w:style w:type="paragraph" w:styleId="Footer">
    <w:name w:val="footer"/>
    <w:basedOn w:val="Normal"/>
    <w:link w:val="FooterChar"/>
    <w:uiPriority w:val="99"/>
    <w:unhideWhenUsed/>
    <w:rsid w:val="000D62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217"/>
  </w:style>
  <w:style w:type="table" w:customStyle="1" w:styleId="TableGrid1">
    <w:name w:val="Table Grid1"/>
    <w:basedOn w:val="TableNormal"/>
    <w:next w:val="TableGrid"/>
    <w:uiPriority w:val="39"/>
    <w:rsid w:val="009F1D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9F1D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McCallum</dc:creator>
  <cp:lastModifiedBy>Shane McCallum</cp:lastModifiedBy>
  <cp:revision>10</cp:revision>
  <cp:lastPrinted>2020-08-26T08:41:00Z</cp:lastPrinted>
  <dcterms:created xsi:type="dcterms:W3CDTF">2020-08-26T08:42:00Z</dcterms:created>
  <dcterms:modified xsi:type="dcterms:W3CDTF">2024-11-18T14:36:00Z</dcterms:modified>
</cp:coreProperties>
</file>